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highlight w:val="white"/>
          <w:rtl w:val="0"/>
        </w:rPr>
        <w:t xml:space="preserve">Inquiry-Oriented Curricula: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highlight w:val="white"/>
          <w:rtl w:val="0"/>
        </w:rPr>
        <w:t xml:space="preserve">Abstract Algebra, Linear Algebra, and Differential Equations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4457700</wp:posOffset>
            </wp:positionH>
            <wp:positionV relativeFrom="paragraph">
              <wp:posOffset>99060</wp:posOffset>
            </wp:positionV>
            <wp:extent cx="1378585" cy="1129665"/>
            <wp:effectExtent b="0" l="0" r="0" t="0"/>
            <wp:wrapSquare wrapText="bothSides" distB="0" distT="0" distL="114300" distR="114300"/>
            <wp:docPr descr="Macintosh HD:Users:christy:Desktop:Screen Shot 2014-07-29 at 1.10.11 PM.png" id="1" name="image01.png"/>
            <a:graphic>
              <a:graphicData uri="http://schemas.openxmlformats.org/drawingml/2006/picture">
                <pic:pic>
                  <pic:nvPicPr>
                    <pic:cNvPr descr="Macintosh HD:Users:christy:Desktop:Screen Shot 2014-07-29 at 1.10.11 PM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129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Inquiry-Oriented Abstract Algebra (IOAA)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Topics include: groups, subgroups, isomorphisms, quotient groups, homomorphisms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Intended to be used for a junior/senior introductory abstract algebra course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Materials currently available: Student materials (task statements) and instructor support materials (learning goals, examples of student work, implementation notes).  For more information (and materials), visit: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szCs w:val="24"/>
            <w:u w:val="single"/>
            <w:rtl w:val="0"/>
          </w:rPr>
          <w:t xml:space="preserve">http://www.web.pdx.edu/~slarsen/TAAFU/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(User:teacher; Password:TAAFU)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History: Developed under NSF grant number 0737299 (PI: Larsen). Key personnel: Johnson.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Evidence of efficacy: Larsen, Johnson, &amp; Bartlo,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Inquiry-Oriented Linear Algebra (IOLA)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4914900</wp:posOffset>
            </wp:positionH>
            <wp:positionV relativeFrom="paragraph">
              <wp:posOffset>44450</wp:posOffset>
            </wp:positionV>
            <wp:extent cx="1028700" cy="1028700"/>
            <wp:effectExtent b="0" l="0" r="0" t="0"/>
            <wp:wrapSquare wrapText="bothSides" distB="0" distT="0" distL="114300" distR="11430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Topics include: span, linear dependence and independence; systems of linear equations, transformations; eigenvalues, eigenvectors, and change of basis (tasks for determinants and systems also available upon request)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Materials intended for use in an introductory linear algebra course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Materials currently available: Student materials (task statements) and instructor support materials (learning goals, examples of student work, implementation notes).  For more information (and materials) visit: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szCs w:val="24"/>
            <w:u w:val="single"/>
            <w:rtl w:val="0"/>
          </w:rPr>
          <w:t xml:space="preserve">http://iola.math.vt.edu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(login &amp; password required)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History: Developed under NSF grant numbers 0634074/0634099 (PIs: Zandieh &amp; Rasmussen) and 1245673/1245796/1246083 (Wawro, Zandieh &amp; Rasmussen). Key personnel: Andrews-Larson.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Evidence of efficacy: data collection scheduled for Fall 2014, analysis ongoing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4800600</wp:posOffset>
            </wp:positionH>
            <wp:positionV relativeFrom="paragraph">
              <wp:posOffset>58420</wp:posOffset>
            </wp:positionV>
            <wp:extent cx="1480820" cy="946150"/>
            <wp:effectExtent b="0" l="0" r="0" t="0"/>
            <wp:wrapSquare wrapText="bothSides" distB="0" distT="0" distL="114300" distR="114300"/>
            <wp:docPr descr="Habibi:Users:williamhall:Desktop:Screen Shot 2015-08-03 at 1.40.52 PM.png" id="2" name="image04.png"/>
            <a:graphic>
              <a:graphicData uri="http://schemas.openxmlformats.org/drawingml/2006/picture">
                <pic:pic>
                  <pic:nvPicPr>
                    <pic:cNvPr descr="Habibi:Users:williamhall:Desktop:Screen Shot 2015-08-03 at 1.40.52 PM.png" id="0" name="image0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946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Inquiry-Oriented Differential Equations (IODE)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Topics include: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highlight w:val="white"/>
          <w:rtl w:val="0"/>
        </w:rPr>
        <w:t xml:space="preserve">solving ODEs; numerical, analytic and graphical solution methods; solutions and spaces of solutions; linear systems; linearization; qualitative analysis of both ODEs and linear systems of ODEs; structures of solution spaces, solving second order differential equations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highlight w:val="white"/>
          <w:rtl w:val="0"/>
        </w:rPr>
        <w:t xml:space="preserve">The materials are meant for a first course in differential equations.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Materials currently available: Student packet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instructor support materials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iode.wordpress.ncsu.edu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History: Developed under NSF grant number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1a1a1a"/>
          <w:sz w:val="24"/>
          <w:szCs w:val="24"/>
          <w:rtl w:val="0"/>
        </w:rPr>
        <w:t xml:space="preserve">9875388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(PI: Rasmussen).  Key personnel: Keene.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For more information, contact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szCs w:val="24"/>
            <w:u w:val="single"/>
            <w:rtl w:val="0"/>
          </w:rPr>
          <w:t xml:space="preserve">kakeene@ncsu.edu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or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szCs w:val="24"/>
            <w:u w:val="single"/>
            <w:rtl w:val="0"/>
          </w:rPr>
          <w:t xml:space="preserve">chris.rasmussen@sdsu.edu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Evidence of efficacy: Kwon, Rasmussen, &amp; Allen, 2005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13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7767"/>
      </w:tabs>
      <w:spacing w:after="720" w:before="0" w:line="240" w:lineRule="auto"/>
      <w:contextualSpacing w:val="0"/>
      <w:jc w:val="both"/>
    </w:pPr>
    <w:r w:rsidDel="00000000" w:rsidR="00000000" w:rsidRPr="00000000">
      <w:rPr>
        <w:rFonts w:ascii="Cambria" w:cs="Cambria" w:eastAsia="Cambria" w:hAnsi="Cambria"/>
        <w:b w:val="0"/>
        <w:sz w:val="20"/>
        <w:szCs w:val="20"/>
        <w:rtl w:val="0"/>
      </w:rPr>
      <w:t xml:space="preserve">TIMES 201</w:t>
    </w:r>
    <w:r w:rsidDel="00000000" w:rsidR="00000000" w:rsidRPr="00000000">
      <w:rPr>
        <w:sz w:val="20"/>
        <w:szCs w:val="20"/>
        <w:rtl w:val="0"/>
      </w:rPr>
      <w:t xml:space="preserve">6</w:t>
    </w:r>
    <w:r w:rsidDel="00000000" w:rsidR="00000000" w:rsidRPr="00000000">
      <w:rPr>
        <w:rFonts w:ascii="Cambria" w:cs="Cambria" w:eastAsia="Cambria" w:hAnsi="Cambria"/>
        <w:b w:val="0"/>
        <w:sz w:val="20"/>
        <w:szCs w:val="20"/>
        <w:rtl w:val="0"/>
      </w:rPr>
      <w:t xml:space="preserve"> Summer Workshop      •      </w:t>
    </w:r>
    <w:hyperlink r:id="rId1">
      <w:r w:rsidDel="00000000" w:rsidR="00000000" w:rsidRPr="00000000">
        <w:rPr>
          <w:rFonts w:ascii="Cambria" w:cs="Cambria" w:eastAsia="Cambria" w:hAnsi="Cambria"/>
          <w:b w:val="0"/>
          <w:color w:val="0000ff"/>
          <w:sz w:val="20"/>
          <w:szCs w:val="20"/>
          <w:u w:val="single"/>
          <w:rtl w:val="0"/>
        </w:rPr>
        <w:t xml:space="preserve">http://times.math.vt.edu</w:t>
      </w:r>
    </w:hyperlink>
    <w:r w:rsidDel="00000000" w:rsidR="00000000" w:rsidRPr="00000000">
      <w:rPr>
        <w:rFonts w:ascii="Cambria" w:cs="Cambria" w:eastAsia="Cambria" w:hAnsi="Cambria"/>
        <w:b w:val="0"/>
        <w:sz w:val="20"/>
        <w:szCs w:val="20"/>
        <w:rtl w:val="0"/>
      </w:rPr>
      <w:t xml:space="preserve">      •       Johnson, Keene, and Andrews-Larson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akeene@ncsu.edu" TargetMode="External"/><Relationship Id="rId10" Type="http://schemas.openxmlformats.org/officeDocument/2006/relationships/hyperlink" Target="http://iode.wordpress.ncsu.edu" TargetMode="External"/><Relationship Id="rId13" Type="http://schemas.openxmlformats.org/officeDocument/2006/relationships/footer" Target="footer1.xml"/><Relationship Id="rId12" Type="http://schemas.openxmlformats.org/officeDocument/2006/relationships/hyperlink" Target="mailto:chris.rasmussen@sdsu.edu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4.png"/><Relationship Id="rId5" Type="http://schemas.openxmlformats.org/officeDocument/2006/relationships/image" Target="media/image01.png"/><Relationship Id="rId6" Type="http://schemas.openxmlformats.org/officeDocument/2006/relationships/hyperlink" Target="http://www.web.pdx.edu/~slarsen/TAAFU/" TargetMode="External"/><Relationship Id="rId7" Type="http://schemas.openxmlformats.org/officeDocument/2006/relationships/image" Target="media/image05.png"/><Relationship Id="rId8" Type="http://schemas.openxmlformats.org/officeDocument/2006/relationships/hyperlink" Target="http://iola.math.vt.edu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times.math.vt.edu" TargetMode="External"/></Relationships>
</file>